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48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ab/>
      </w:r>
    </w:p>
    <w:tbl>
      <w:tblPr>
        <w:tblStyle w:val="Table1"/>
        <w:tblW w:w="10762.0" w:type="dxa"/>
        <w:jc w:val="left"/>
        <w:tblBorders>
          <w:top w:color="000000" w:space="0" w:sz="4" w:val="single"/>
          <w:left w:color="000000" w:space="0" w:sz="4" w:val="single"/>
          <w:bottom w:color="000000" w:space="0" w:sz="4" w:val="single"/>
          <w:right w:color="000000" w:space="0" w:sz="4" w:val="single"/>
          <w:insideH w:color="000000" w:space="0" w:sz="4" w:val="single"/>
        </w:tblBorders>
        <w:tblLayout w:type="fixed"/>
        <w:tblLook w:val="0000"/>
      </w:tblPr>
      <w:tblGrid>
        <w:gridCol w:w="2988"/>
        <w:gridCol w:w="7774"/>
        <w:tblGridChange w:id="0">
          <w:tblGrid>
            <w:gridCol w:w="2988"/>
            <w:gridCol w:w="7774"/>
          </w:tblGrid>
        </w:tblGridChange>
      </w:tblGrid>
      <w:tr>
        <w:trPr>
          <w:cantSplit w:val="0"/>
          <w:trHeight w:val="300" w:hRule="atLeast"/>
          <w:tblHeader w:val="0"/>
        </w:trPr>
        <w:tc>
          <w:tcP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995"/>
              </w:tabs>
              <w:spacing w:line="240" w:lineRule="auto"/>
              <w:rPr>
                <w:rFonts w:ascii="Century Gothic" w:cs="Century Gothic" w:eastAsia="Century Gothic" w:hAnsi="Century Gothic"/>
                <w:b w:val="1"/>
                <w:bCs w:val="1"/>
                <w:color w:val="633188"/>
                <w:sz w:val="24"/>
                <w:szCs w:val="24"/>
              </w:rPr>
            </w:pPr>
            <w:r w:rsidDel="00000000" w:rsidR="00000000" w:rsidRPr="00000000">
              <w:rPr>
                <w:rFonts w:ascii="Century Gothic" w:cs="Century Gothic" w:eastAsia="Century Gothic" w:hAnsi="Century Gothic"/>
                <w:b w:val="1"/>
                <w:bCs w:val="1"/>
                <w:color w:val="633188"/>
                <w:sz w:val="24"/>
                <w:szCs w:val="24"/>
                <w:rtl w:val="0"/>
              </w:rPr>
              <w:t xml:space="preserve">Position</w:t>
            </w:r>
          </w:p>
        </w:tc>
        <w:tc>
          <w:tcP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sz w:val="24"/>
                <w:szCs w:val="24"/>
                <w:rtl w:val="0"/>
              </w:rPr>
              <w:t xml:space="preserve">Finance Director</w:t>
            </w: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995"/>
              </w:tabs>
              <w:spacing w:line="240" w:lineRule="auto"/>
              <w:rPr>
                <w:rFonts w:ascii="Century Gothic" w:cs="Century Gothic" w:eastAsia="Century Gothic" w:hAnsi="Century Gothic"/>
                <w:b w:val="1"/>
                <w:bCs w:val="1"/>
                <w:color w:val="31849b"/>
                <w:sz w:val="24"/>
                <w:szCs w:val="24"/>
              </w:rPr>
            </w:pPr>
            <w:r w:rsidDel="00000000" w:rsidR="00000000" w:rsidRPr="00000000">
              <w:rPr>
                <w:rFonts w:ascii="Century Gothic" w:cs="Century Gothic" w:eastAsia="Century Gothic" w:hAnsi="Century Gothic"/>
                <w:b w:val="1"/>
                <w:bCs w:val="1"/>
                <w:color w:val="633188"/>
                <w:sz w:val="24"/>
                <w:szCs w:val="24"/>
                <w:rtl w:val="0"/>
              </w:rPr>
              <w:t xml:space="preserve">Reporting to</w:t>
            </w:r>
            <w:r w:rsidDel="00000000" w:rsidR="00000000" w:rsidRPr="00000000">
              <w:rPr>
                <w:rtl w:val="0"/>
              </w:rPr>
            </w:r>
          </w:p>
        </w:tc>
        <w:tc>
          <w:tcP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i w:val="1"/>
                <w:iCs w:val="1"/>
                <w:color w:val="000000"/>
                <w:sz w:val="24"/>
                <w:szCs w:val="24"/>
              </w:rPr>
            </w:pPr>
            <w:r w:rsidDel="00000000" w:rsidR="00000000" w:rsidRPr="00000000">
              <w:rPr>
                <w:rFonts w:ascii="Century Gothic" w:cs="Century Gothic" w:eastAsia="Century Gothic" w:hAnsi="Century Gothic"/>
                <w:i w:val="1"/>
                <w:iCs w:val="1"/>
                <w:sz w:val="24"/>
                <w:szCs w:val="24"/>
                <w:rtl w:val="0"/>
              </w:rPr>
              <w:t xml:space="preserve">WiN UK President</w:t>
            </w: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995"/>
              </w:tabs>
              <w:spacing w:line="240" w:lineRule="auto"/>
              <w:rPr>
                <w:rFonts w:ascii="Century Gothic" w:cs="Century Gothic" w:eastAsia="Century Gothic" w:hAnsi="Century Gothic"/>
                <w:b w:val="1"/>
                <w:bCs w:val="1"/>
                <w:color w:val="ffa02f"/>
                <w:sz w:val="24"/>
                <w:szCs w:val="24"/>
              </w:rPr>
            </w:pPr>
            <w:r w:rsidDel="00000000" w:rsidR="00000000" w:rsidRPr="00000000">
              <w:rPr>
                <w:rFonts w:ascii="Century Gothic" w:cs="Century Gothic" w:eastAsia="Century Gothic" w:hAnsi="Century Gothic"/>
                <w:b w:val="1"/>
                <w:bCs w:val="1"/>
                <w:color w:val="633188"/>
                <w:sz w:val="24"/>
                <w:szCs w:val="24"/>
                <w:rtl w:val="0"/>
              </w:rPr>
              <w:t xml:space="preserve">Location</w:t>
            </w:r>
            <w:r w:rsidDel="00000000" w:rsidR="00000000" w:rsidRPr="00000000">
              <w:rPr>
                <w:rtl w:val="0"/>
              </w:rPr>
            </w:r>
          </w:p>
        </w:tc>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i w:val="1"/>
                <w:iCs w:val="1"/>
                <w:color w:val="000000"/>
                <w:sz w:val="24"/>
                <w:szCs w:val="24"/>
              </w:rPr>
            </w:pPr>
            <w:r w:rsidDel="00000000" w:rsidR="00000000" w:rsidRPr="00000000">
              <w:rPr>
                <w:rFonts w:ascii="Century Gothic" w:cs="Century Gothic" w:eastAsia="Century Gothic" w:hAnsi="Century Gothic"/>
                <w:i w:val="1"/>
                <w:iCs w:val="1"/>
                <w:color w:val="000000"/>
                <w:sz w:val="24"/>
                <w:szCs w:val="24"/>
                <w:rtl w:val="0"/>
              </w:rPr>
              <w:t xml:space="preserve">Flexible</w:t>
            </w:r>
          </w:p>
        </w:tc>
      </w:tr>
    </w:tbl>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995"/>
        </w:tabs>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995"/>
        </w:tabs>
        <w:rPr>
          <w:rFonts w:ascii="Century Gothic" w:cs="Century Gothic" w:eastAsia="Century Gothic" w:hAnsi="Century Gothic"/>
          <w:color w:val="000000"/>
          <w:sz w:val="24"/>
          <w:szCs w:val="24"/>
          <w:u w:val="single"/>
        </w:rPr>
      </w:pPr>
      <w:r w:rsidDel="00000000" w:rsidR="00000000" w:rsidRPr="00000000">
        <w:rPr>
          <w:rFonts w:ascii="Century Gothic" w:cs="Century Gothic" w:eastAsia="Century Gothic" w:hAnsi="Century Gothic"/>
          <w:color w:val="000000"/>
          <w:sz w:val="24"/>
          <w:szCs w:val="24"/>
          <w:u w:val="single"/>
          <w:rtl w:val="0"/>
        </w:rPr>
        <w:t xml:space="preserve">Please note that this is a voluntary post.</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995"/>
        </w:tabs>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Please gain confirmation of your line manager support before applying.</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995"/>
        </w:tabs>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C">
      <w:pP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46b7a9"/>
          <w:sz w:val="24"/>
          <w:szCs w:val="24"/>
          <w:rtl w:val="0"/>
        </w:rPr>
        <w:t xml:space="preserve">Overview of the Organisation</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995"/>
        </w:tabs>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Women in Nuclear UK (WiN UK) is a not-for-profit organisation, dedicated to promoting gender balance, diversity, and inclusion across the nuclear sector. As part of a global network, WiN UK works to inspire, support, and empower women at all career stages within the nuclear industry, advancing opportunities and advocating for meaningful change. The organisation is governed by a voluntary Board, supported by dedicated professionals from across the sector, and works in partnership with government, industry, and educational institutions. WiN UK is in the process of becoming a registered charity and this will be a key area of focus for the organisation in the short term.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995"/>
        </w:tabs>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b w:val="1"/>
          <w:bCs w:val="1"/>
          <w:color w:val="46b7a9"/>
          <w:sz w:val="24"/>
          <w:szCs w:val="24"/>
        </w:rPr>
      </w:pPr>
      <w:r w:rsidDel="00000000" w:rsidR="00000000" w:rsidRPr="00000000">
        <w:rPr>
          <w:rFonts w:ascii="Century Gothic" w:cs="Century Gothic" w:eastAsia="Century Gothic" w:hAnsi="Century Gothic"/>
          <w:b w:val="1"/>
          <w:bCs w:val="1"/>
          <w:color w:val="46b7a9"/>
          <w:sz w:val="24"/>
          <w:szCs w:val="24"/>
          <w:rtl w:val="0"/>
        </w:rPr>
        <w:t xml:space="preserve">Main Responsibilities</w:t>
        <w:tab/>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Overall:</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4"/>
          <w:szCs w:val="24"/>
          <w:highlight w:val="yellow"/>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Finance Director plays a pivotal role in ensuring the financial health, integrity, and sustainability of WiN UK. As a Board member, the Finance Director provides strategic oversight, leadership, and direction for all financial aspects of the organisation. This includes financial planning and reporting, elements of risk management, compliance, and supporting fundraising and resource allocation decisions. The Finance Director will collaborate closely with fellow Board members, Executives, and volunteers to help achieve the charity’s mission and objectives.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4"/>
          <w:szCs w:val="24"/>
          <w:highlight w:val="yellow"/>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M</w:t>
      </w:r>
      <w:r w:rsidDel="00000000" w:rsidR="00000000" w:rsidRPr="00000000">
        <w:rPr>
          <w:rFonts w:ascii="Century Gothic" w:cs="Century Gothic" w:eastAsia="Century Gothic" w:hAnsi="Century Gothic"/>
          <w:b w:val="1"/>
          <w:bCs w:val="1"/>
          <w:sz w:val="24"/>
          <w:szCs w:val="24"/>
          <w:rtl w:val="0"/>
        </w:rPr>
        <w:t xml:space="preserve">ain</w:t>
      </w:r>
      <w:r w:rsidDel="00000000" w:rsidR="00000000" w:rsidRPr="00000000">
        <w:rPr>
          <w:rFonts w:ascii="Century Gothic" w:cs="Century Gothic" w:eastAsia="Century Gothic" w:hAnsi="Century Gothic"/>
          <w:b w:val="1"/>
          <w:bCs w:val="1"/>
          <w:color w:val="000000"/>
          <w:sz w:val="24"/>
          <w:szCs w:val="24"/>
          <w:rtl w:val="0"/>
        </w:rPr>
        <w:t xml:space="preserve"> responsibilities: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Strategic Financial Leadership</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Lead the development of WiN UK’s financial strategy in support of the organisation’s charitable objectives and long-term sustainability.</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Work with the Board and Executive to align financial planning with strategic priorities, identifying opportunities for growth and ensuring the effective allocation of resources.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Financial Planning and Reporting</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Oversee the preparation of annual budgets, forecasts, and management accounts.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Present clear, timely, and accurate financial information and analysis to the Board, enabling informed decision-making.</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Monitor financial performance against budget and highlight variances and risks.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Governance and Compliance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compliance with relevant UK financial legislation, including financial reporting requirements set by the Charity Commission and Companies House.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Maintain appropriate financial controls, policies, processes, and systems to protect the assets and reputation of the charity.</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Risk Management</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Identify and assess financial risks facing WiN UK and implement strategies to manage and mitigate these risks.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Advise the Board on financial implications of significant decisions, projects, and partnerships.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Fundraising and Resource Development</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Support the charity’s fundraising activities by providing financial insight and due diligence for funding bids, partnerships, and sponsorship agreements.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Work with the Board and fundraising leads to develop innovative income-generation initiatives.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Stakeholder Engagement and Representation</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Represent WiN UK at external meetings, events, and forums where financial expertise and advocacy are required.</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Build and nurture relationships with WIN volunteers, auditors, donors, sponsors, and other partners.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Board Contribution</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Actively participate in Board meetings, providing expertise, challenge, and support to fellow trustees and volunteers.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Contribute to the development of organisational policies and strategy beyond finance as part of the Board’s collective leadership.</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b w:val="1"/>
          <w:bCs w:val="1"/>
          <w:color w:val="46b7a9"/>
          <w:sz w:val="24"/>
          <w:szCs w:val="24"/>
        </w:rPr>
      </w:pPr>
      <w:r w:rsidDel="00000000" w:rsidR="00000000" w:rsidRPr="00000000">
        <w:rPr>
          <w:rFonts w:ascii="Century Gothic" w:cs="Century Gothic" w:eastAsia="Century Gothic" w:hAnsi="Century Gothic"/>
          <w:b w:val="1"/>
          <w:bCs w:val="1"/>
          <w:color w:val="46b7a9"/>
          <w:sz w:val="24"/>
          <w:szCs w:val="24"/>
          <w:rtl w:val="0"/>
        </w:rPr>
        <w:t xml:space="preserve">Person Specification</w:t>
      </w:r>
    </w:p>
    <w:p w:rsidR="00000000" w:rsidDel="00000000" w:rsidP="00000000" w:rsidRDefault="00000000" w:rsidRPr="00000000" w14:paraId="0000002F">
      <w:pPr>
        <w:spacing w:line="240" w:lineRule="auto"/>
        <w:ind w:left="0" w:firstLine="0"/>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Essential Skills and Experience</w:t>
      </w:r>
    </w:p>
    <w:p w:rsidR="00000000" w:rsidDel="00000000" w:rsidP="00000000" w:rsidRDefault="00000000" w:rsidRPr="00000000" w14:paraId="00000030">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Relevant professional qualifications (e.g., ACA, ACCA, CIMA, CIPFA) or demonstrable equivalent experience.</w:t>
      </w:r>
    </w:p>
    <w:p w:rsidR="00000000" w:rsidDel="00000000" w:rsidP="00000000" w:rsidRDefault="00000000" w:rsidRPr="00000000" w14:paraId="00000031">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Experience in financial management, accounting, or finance within a charity, non-profit, public, or commercial environment.</w:t>
      </w:r>
    </w:p>
    <w:p w:rsidR="00000000" w:rsidDel="00000000" w:rsidP="00000000" w:rsidRDefault="00000000" w:rsidRPr="00000000" w14:paraId="00000032">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Strong analytical and problem-solving skills, with the ability to interpret complex financial data and communicate clearly to non-financial audiences.</w:t>
      </w:r>
    </w:p>
    <w:p w:rsidR="00000000" w:rsidDel="00000000" w:rsidP="00000000" w:rsidRDefault="00000000" w:rsidRPr="00000000" w14:paraId="00000033">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Ability to work collaboratively, influence, and build consensus with a diverse range of stakeholders.</w:t>
      </w:r>
    </w:p>
    <w:p w:rsidR="00000000" w:rsidDel="00000000" w:rsidP="00000000" w:rsidRDefault="00000000" w:rsidRPr="00000000" w14:paraId="00000034">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Sound judgement, integrity, and commitment to the values and mission of WiN UK.</w:t>
      </w:r>
    </w:p>
    <w:p w:rsidR="00000000" w:rsidDel="00000000" w:rsidP="00000000" w:rsidRDefault="00000000" w:rsidRPr="00000000" w14:paraId="00000035">
      <w:pPr>
        <w:spacing w:line="240" w:lineRule="auto"/>
        <w:ind w:left="0" w:firstLine="0"/>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Desirable Skills and Experience</w:t>
      </w:r>
    </w:p>
    <w:p w:rsidR="00000000" w:rsidDel="00000000" w:rsidP="00000000" w:rsidRDefault="00000000" w:rsidRPr="00000000" w14:paraId="00000036">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Prior experience serving as a charity trustee or finance director.</w:t>
      </w:r>
    </w:p>
    <w:p w:rsidR="00000000" w:rsidDel="00000000" w:rsidP="00000000" w:rsidRDefault="00000000" w:rsidRPr="00000000" w14:paraId="00000037">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Knowledge of UK charity finance regulations, governance, and reporting requirements.</w:t>
      </w:r>
    </w:p>
    <w:p w:rsidR="00000000" w:rsidDel="00000000" w:rsidP="00000000" w:rsidRDefault="00000000" w:rsidRPr="00000000" w14:paraId="00000038">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Understanding of the nuclear sector, STEM industries, or diversity/inclusion initiatives.</w:t>
      </w:r>
    </w:p>
    <w:p w:rsidR="00000000" w:rsidDel="00000000" w:rsidP="00000000" w:rsidRDefault="00000000" w:rsidRPr="00000000" w14:paraId="00000039">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Experience with fundraising, grant applications, and partnership management.</w:t>
      </w:r>
    </w:p>
    <w:p w:rsidR="00000000" w:rsidDel="00000000" w:rsidP="00000000" w:rsidRDefault="00000000" w:rsidRPr="00000000" w14:paraId="0000003A">
      <w:pPr>
        <w:spacing w:line="240" w:lineRule="auto"/>
        <w:ind w:left="0" w:firstLine="0"/>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Personal Attributes</w:t>
      </w:r>
    </w:p>
    <w:p w:rsidR="00000000" w:rsidDel="00000000" w:rsidP="00000000" w:rsidRDefault="00000000" w:rsidRPr="00000000" w14:paraId="0000003B">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Passion for supporting women and promoting diversity within the nuclear sector.</w:t>
      </w:r>
    </w:p>
    <w:p w:rsidR="00000000" w:rsidDel="00000000" w:rsidP="00000000" w:rsidRDefault="00000000" w:rsidRPr="00000000" w14:paraId="0000003C">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Commitment to voluntary service and collaborative team working.</w:t>
      </w:r>
    </w:p>
    <w:p w:rsidR="00000000" w:rsidDel="00000000" w:rsidP="00000000" w:rsidRDefault="00000000" w:rsidRPr="00000000" w14:paraId="0000003D">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Resilience, flexibility, and a proactive approach to problem-solving.</w:t>
      </w:r>
    </w:p>
    <w:p w:rsidR="00000000" w:rsidDel="00000000" w:rsidP="00000000" w:rsidRDefault="00000000" w:rsidRPr="00000000" w14:paraId="0000003E">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Excellent communication and interpersonal skills.</w:t>
      </w:r>
    </w:p>
    <w:p w:rsidR="00000000" w:rsidDel="00000000" w:rsidP="00000000" w:rsidRDefault="00000000" w:rsidRPr="00000000" w14:paraId="0000003F">
      <w:pPr>
        <w:spacing w:line="240" w:lineRule="auto"/>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Discretion and respect for confidentiality.</w:t>
      </w:r>
    </w:p>
    <w:p w:rsidR="00000000" w:rsidDel="00000000" w:rsidP="00000000" w:rsidRDefault="00000000" w:rsidRPr="00000000" w14:paraId="00000040">
      <w:pPr>
        <w:spacing w:line="240" w:lineRule="auto"/>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1">
      <w:pPr>
        <w:spacing w:line="240" w:lineRule="auto"/>
        <w:ind w:left="36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b w:val="1"/>
          <w:bCs w:val="1"/>
          <w:color w:val="46b7a9"/>
          <w:sz w:val="24"/>
          <w:szCs w:val="24"/>
        </w:rPr>
      </w:pPr>
      <w:r w:rsidDel="00000000" w:rsidR="00000000" w:rsidRPr="00000000">
        <w:rPr>
          <w:rFonts w:ascii="Century Gothic" w:cs="Century Gothic" w:eastAsia="Century Gothic" w:hAnsi="Century Gothic"/>
          <w:b w:val="1"/>
          <w:bCs w:val="1"/>
          <w:color w:val="46b7a9"/>
          <w:sz w:val="24"/>
          <w:szCs w:val="24"/>
          <w:rtl w:val="0"/>
        </w:rPr>
        <w:t xml:space="preserve">Commitment required</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The Finance Director is a voluntary position, expected to dedicate approximately 6-8 hours per month, which includes attending Board meetings (usually quarterly, often virtual), reviewing financial documents, and providing advice between meetings.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Additional input may be required at key times such as year-end accounts, budgeting processes, or major fundraising initiatives.</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6">
      <w:pP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46b7a9"/>
          <w:sz w:val="24"/>
          <w:szCs w:val="24"/>
          <w:rtl w:val="0"/>
        </w:rPr>
        <w:t xml:space="preserve">Term of Appointment</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Board members are typically appointed for a term of three years, with the option to extend subject to the agreement of the Board.</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This is an unpaid role, with reasonable expenses reimbursed in line with WiN UK’s policies.</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B">
      <w:pP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46b7a9"/>
          <w:sz w:val="24"/>
          <w:szCs w:val="24"/>
          <w:rtl w:val="0"/>
        </w:rPr>
        <w:t xml:space="preserve">Benefits of the Role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Opportunity to contribute to a high-impact, values-driven charity shaping the future of the nuclear sector.</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Enhance your professional network within the nuclear industry and the wider STEM community.</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Develop leadership, governance, and strategic planning skills in a supportive and collaborative environment.</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Play a key role in advancing gender equality and diversity in a vital field.</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Work alongside inspiring trustees, professionals, and volunteers united by a shared purpose.</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b w:val="1"/>
          <w:bCs w:val="1"/>
          <w:color w:val="46b7a9"/>
          <w:sz w:val="24"/>
          <w:szCs w:val="24"/>
        </w:rPr>
      </w:pPr>
      <w:r w:rsidDel="00000000" w:rsidR="00000000" w:rsidRPr="00000000">
        <w:rPr>
          <w:rFonts w:ascii="Century Gothic" w:cs="Century Gothic" w:eastAsia="Century Gothic" w:hAnsi="Century Gothic"/>
          <w:b w:val="1"/>
          <w:bCs w:val="1"/>
          <w:color w:val="46b7a9"/>
          <w:sz w:val="24"/>
          <w:szCs w:val="24"/>
          <w:rtl w:val="0"/>
        </w:rPr>
        <w:t xml:space="preserve">Inclusion</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WiN UK is an inclusive organisation. We don’t just accept difference—we celebrate it as a core value at the heart of our mission. We believe that an inclusive organisation is a successful and happy organisation. We therefore welcome applications from those in under-represented groups. We are committed to ensuring a fair and inclusive selection process for all applicants; it is not a pre-requisite to identify as a woman! </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5">
      <w:pPr>
        <w:tabs>
          <w:tab w:val="center" w:leader="none" w:pos="4153"/>
          <w:tab w:val="right" w:leader="none" w:pos="8306"/>
        </w:tabs>
        <w:spacing w:line="300" w:lineRule="auto"/>
        <w:rPr>
          <w:rFonts w:ascii="Century Gothic" w:cs="Century Gothic" w:eastAsia="Century Gothic" w:hAnsi="Century Gothic"/>
          <w:b w:val="1"/>
          <w:bCs w:val="1"/>
          <w:color w:val="46b7a9"/>
          <w:sz w:val="24"/>
          <w:szCs w:val="24"/>
        </w:rPr>
      </w:pPr>
      <w:r w:rsidDel="00000000" w:rsidR="00000000" w:rsidRPr="00000000">
        <w:rPr>
          <w:rFonts w:ascii="Century Gothic" w:cs="Century Gothic" w:eastAsia="Century Gothic" w:hAnsi="Century Gothic"/>
          <w:b w:val="1"/>
          <w:bCs w:val="1"/>
          <w:color w:val="46b7a9"/>
          <w:sz w:val="24"/>
          <w:szCs w:val="24"/>
          <w:rtl w:val="0"/>
        </w:rPr>
        <w:t xml:space="preserve">How to apply </w:t>
      </w:r>
    </w:p>
    <w:p w:rsidR="00000000" w:rsidDel="00000000" w:rsidP="00000000" w:rsidRDefault="00000000" w:rsidRPr="00000000" w14:paraId="00000056">
      <w:pPr>
        <w:tabs>
          <w:tab w:val="center" w:leader="none" w:pos="4153"/>
          <w:tab w:val="right" w:leader="none" w:pos="8306"/>
        </w:tabs>
        <w:spacing w:line="30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sz w:val="24"/>
          <w:szCs w:val="24"/>
          <w:rtl w:val="0"/>
        </w:rPr>
        <w:t xml:space="preserve">If you’re passionate about governance and want to make a difference in the non-profit sector, we’d love to hear from you. Please submit your CV and a short cover letter outlining your experience and interest in the role to</w:t>
      </w:r>
      <w:r w:rsidDel="00000000" w:rsidR="00000000" w:rsidRPr="00000000">
        <w:rPr>
          <w:rFonts w:ascii="Century Gothic" w:cs="Century Gothic" w:eastAsia="Century Gothic" w:hAnsi="Century Gothic"/>
          <w:b w:val="1"/>
          <w:bCs w:val="1"/>
          <w:sz w:val="24"/>
          <w:szCs w:val="24"/>
          <w:rtl w:val="0"/>
        </w:rPr>
        <w:t xml:space="preserve"> recruitment@winuk.org.uk</w:t>
      </w:r>
    </w:p>
    <w:p w:rsidR="00000000" w:rsidDel="00000000" w:rsidP="00000000" w:rsidRDefault="00000000" w:rsidRPr="00000000" w14:paraId="00000057">
      <w:pP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tab/>
        <w:t xml:space="preserve">Shortlisted candidates will be invited for an interview. In addition to a competency-based interview, the process may include an informal interview with existing Board and team members. References and background checks may be sought prior to appointment.</w:t>
      </w:r>
    </w:p>
    <w:p w:rsidR="00000000" w:rsidDel="00000000" w:rsidP="00000000" w:rsidRDefault="00000000" w:rsidRPr="00000000" w14:paraId="00000058">
      <w:pPr>
        <w:tabs>
          <w:tab w:val="center" w:leader="none" w:pos="4153"/>
          <w:tab w:val="right" w:leader="none" w:pos="8306"/>
        </w:tabs>
        <w:spacing w:line="30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9">
      <w:pPr>
        <w:tabs>
          <w:tab w:val="center" w:leader="none" w:pos="4153"/>
          <w:tab w:val="right" w:leader="none" w:pos="8306"/>
        </w:tabs>
        <w:spacing w:line="300" w:lineRule="auto"/>
        <w:rPr>
          <w:rFonts w:ascii="Century Gothic" w:cs="Century Gothic" w:eastAsia="Century Gothic" w:hAnsi="Century Gothic"/>
          <w:b w:val="1"/>
          <w:bCs w:val="1"/>
          <w:color w:val="46b7a9"/>
          <w:sz w:val="24"/>
          <w:szCs w:val="24"/>
        </w:rPr>
      </w:pPr>
      <w:r w:rsidDel="00000000" w:rsidR="00000000" w:rsidRPr="00000000">
        <w:rPr>
          <w:rFonts w:ascii="Century Gothic" w:cs="Century Gothic" w:eastAsia="Century Gothic" w:hAnsi="Century Gothic"/>
          <w:b w:val="1"/>
          <w:bCs w:val="1"/>
          <w:color w:val="46b7a9"/>
          <w:sz w:val="24"/>
          <w:szCs w:val="24"/>
          <w:rtl w:val="0"/>
        </w:rPr>
        <w:t xml:space="preserve">Contact Information</w:t>
      </w:r>
    </w:p>
    <w:p w:rsidR="00000000" w:rsidDel="00000000" w:rsidP="00000000" w:rsidRDefault="00000000" w:rsidRPr="00000000" w14:paraId="0000005A">
      <w:pPr>
        <w:tabs>
          <w:tab w:val="center" w:leader="none" w:pos="4153"/>
          <w:tab w:val="right" w:leader="none" w:pos="8306"/>
        </w:tabs>
        <w:spacing w:after="240" w:before="240" w:line="3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further information or to express interest in this voluntary Finance Director role, please visit the WiN UK website or contact the Board via recruitment@winuk.org.uk</w:t>
      </w:r>
    </w:p>
    <w:sectPr>
      <w:headerReference r:id="rId7" w:type="default"/>
      <w:headerReference r:id="rId8" w:type="first"/>
      <w:footerReference r:id="rId9" w:type="default"/>
      <w:footerReference r:id="rId10" w:type="first"/>
      <w:pgSz w:h="16840" w:w="11907" w:orient="portrait"/>
      <w:pgMar w:bottom="1077" w:top="1259" w:left="851" w:right="851" w:header="709" w:footer="6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Frutiger LT 45 Light"/>
  <w:font w:name="Frutiger LT 55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Pr>
      <w:drawing>
        <wp:inline distB="0" distT="0" distL="0" distR="0">
          <wp:extent cx="6697345" cy="41288"/>
          <wp:effectExtent b="0" l="0" r="0" t="0"/>
          <wp:docPr id="4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97345" cy="4128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Pr>
      <w:drawing>
        <wp:inline distB="0" distT="0" distL="0" distR="0">
          <wp:extent cx="6901180" cy="42545"/>
          <wp:effectExtent b="0" l="0" r="0" t="0"/>
          <wp:docPr id="4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901180" cy="4254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153"/>
      </w:tabs>
      <w:spacing w:line="320" w:lineRule="auto"/>
      <w:rPr>
        <w:rFonts w:ascii="Century Gothic" w:cs="Century Gothic" w:eastAsia="Century Gothic" w:hAnsi="Century Gothic"/>
        <w:b w:val="1"/>
        <w:bCs w:val="1"/>
        <w:color w:val="2b0041"/>
        <w:sz w:val="32"/>
        <w:szCs w:val="32"/>
      </w:rPr>
    </w:pPr>
    <w:r w:rsidDel="00000000" w:rsidR="00000000" w:rsidRPr="00000000">
      <w:rPr>
        <w:rFonts w:ascii="Century Gothic" w:cs="Century Gothic" w:eastAsia="Century Gothic" w:hAnsi="Century Gothic"/>
        <w:b w:val="1"/>
        <w:bCs w:val="1"/>
        <w:color w:val="2b0041"/>
        <w:sz w:val="32"/>
        <w:szCs w:val="32"/>
        <w:rtl w:val="0"/>
      </w:rPr>
      <w:t xml:space="preserve">Women in Nuclear UK                                  </w:t>
    </w:r>
    <w:r w:rsidDel="00000000" w:rsidR="00000000" w:rsidRPr="00000000">
      <w:drawing>
        <wp:anchor allowOverlap="1" behindDoc="0" distB="0" distT="0" distL="114300" distR="114300" hidden="0" layoutInCell="1" locked="0" relativeHeight="0" simplePos="0">
          <wp:simplePos x="0" y="0"/>
          <wp:positionH relativeFrom="column">
            <wp:posOffset>3910965</wp:posOffset>
          </wp:positionH>
          <wp:positionV relativeFrom="paragraph">
            <wp:posOffset>-132709</wp:posOffset>
          </wp:positionV>
          <wp:extent cx="2857500" cy="790575"/>
          <wp:effectExtent b="0" l="0" r="0" t="0"/>
          <wp:wrapSquare wrapText="bothSides" distB="0" distT="0" distL="114300" distR="114300"/>
          <wp:docPr id="4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57500" cy="790575"/>
                  </a:xfrm>
                  <a:prstGeom prst="rect"/>
                  <a:ln/>
                </pic:spPr>
              </pic:pic>
            </a:graphicData>
          </a:graphic>
        </wp:anchor>
      </w:drawing>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153"/>
        <w:tab w:val="right" w:leader="none" w:pos="8306"/>
      </w:tabs>
      <w:spacing w:line="320" w:lineRule="auto"/>
      <w:jc w:val="both"/>
      <w:rPr>
        <w:rFonts w:ascii="Century Gothic" w:cs="Century Gothic" w:eastAsia="Century Gothic" w:hAnsi="Century Gothic"/>
        <w:color w:val="2b0041"/>
        <w:sz w:val="24"/>
        <w:szCs w:val="24"/>
      </w:rPr>
    </w:pPr>
    <w:r w:rsidDel="00000000" w:rsidR="00000000" w:rsidRPr="00000000">
      <w:rPr>
        <w:rFonts w:ascii="Century Gothic" w:cs="Century Gothic" w:eastAsia="Century Gothic" w:hAnsi="Century Gothic"/>
        <w:color w:val="2b0041"/>
        <w:sz w:val="24"/>
        <w:szCs w:val="24"/>
        <w:rtl w:val="0"/>
      </w:rPr>
      <w:t xml:space="preserve">Role Description</w:t>
    </w:r>
    <w:r w:rsidDel="00000000" w:rsidR="00000000" w:rsidRPr="00000000">
      <w:rPr>
        <w:rFonts w:ascii="Century Gothic" w:cs="Century Gothic" w:eastAsia="Century Gothic" w:hAnsi="Century Gothic"/>
        <w:color w:val="2b0041"/>
        <w:rtl w:val="0"/>
      </w:rPr>
      <w:t xml:space="preserve"> </w:t>
    </w:r>
    <w:r w:rsidDel="00000000" w:rsidR="00000000" w:rsidRPr="00000000">
      <w:rPr>
        <w:rFonts w:ascii="Century Gothic" w:cs="Century Gothic" w:eastAsia="Century Gothic" w:hAnsi="Century Gothic"/>
        <w:color w:val="2b0041"/>
        <w:sz w:val="24"/>
        <w:szCs w:val="24"/>
        <w:rtl w:val="0"/>
      </w:rPr>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153"/>
        <w:tab w:val="right" w:leader="none" w:pos="8306"/>
      </w:tabs>
      <w:spacing w:line="320" w:lineRule="auto"/>
      <w:jc w:val="both"/>
      <w:rPr>
        <w:color w:val="2b004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-139694</wp:posOffset>
              </wp:positionH>
              <wp:positionV relativeFrom="paragraph">
                <wp:posOffset>25400</wp:posOffset>
              </wp:positionV>
              <wp:extent cx="7066280" cy="193040"/>
              <wp:effectExtent b="0" l="0" r="0" t="0"/>
              <wp:wrapNone/>
              <wp:docPr id="44" name=""/>
              <a:graphic>
                <a:graphicData uri="http://schemas.microsoft.com/office/word/2010/wordprocessingShape">
                  <wps:wsp>
                    <wps:cNvCnPr/>
                    <wps:spPr>
                      <a:xfrm flipH="1" rot="10800000">
                        <a:off x="1901760" y="3772380"/>
                        <a:ext cx="6888480" cy="15240"/>
                      </a:xfrm>
                      <a:prstGeom prst="straightConnector1">
                        <a:avLst/>
                      </a:prstGeom>
                      <a:noFill/>
                      <a:ln cap="flat" cmpd="sng" w="25400">
                        <a:solidFill>
                          <a:srgbClr val="46B7A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-139694</wp:posOffset>
              </wp:positionH>
              <wp:positionV relativeFrom="paragraph">
                <wp:posOffset>25400</wp:posOffset>
              </wp:positionV>
              <wp:extent cx="7066280" cy="193040"/>
              <wp:effectExtent b="0" l="0" r="0" t="0"/>
              <wp:wrapNone/>
              <wp:docPr id="4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7066280" cy="19304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153"/>
      </w:tabs>
      <w:spacing w:line="320" w:lineRule="auto"/>
      <w:rPr>
        <w:rFonts w:ascii="Century Gothic" w:cs="Century Gothic" w:eastAsia="Century Gothic" w:hAnsi="Century Gothic"/>
        <w:b w:val="1"/>
        <w:bCs w:val="1"/>
        <w:color w:val="2b0041"/>
        <w:sz w:val="32"/>
        <w:szCs w:val="32"/>
      </w:rPr>
    </w:pPr>
    <w:r w:rsidDel="00000000" w:rsidR="00000000" w:rsidRPr="00000000">
      <w:rPr>
        <w:rFonts w:ascii="Century Gothic" w:cs="Century Gothic" w:eastAsia="Century Gothic" w:hAnsi="Century Gothic"/>
        <w:b w:val="1"/>
        <w:bCs w:val="1"/>
        <w:color w:val="2b0041"/>
        <w:sz w:val="32"/>
        <w:szCs w:val="32"/>
        <w:rtl w:val="0"/>
      </w:rPr>
      <w:t xml:space="preserve">Women in Nuclear UK                                  </w:t>
    </w:r>
    <w:r w:rsidDel="00000000" w:rsidR="00000000" w:rsidRPr="00000000">
      <w:drawing>
        <wp:anchor allowOverlap="1" behindDoc="0" distB="114300" distT="114300" distL="114300" distR="114300" hidden="0" layoutInCell="1" locked="0" relativeHeight="0" simplePos="0">
          <wp:simplePos x="0" y="0"/>
          <wp:positionH relativeFrom="column">
            <wp:posOffset>4888555</wp:posOffset>
          </wp:positionH>
          <wp:positionV relativeFrom="paragraph">
            <wp:posOffset>-228594</wp:posOffset>
          </wp:positionV>
          <wp:extent cx="1592898" cy="768985"/>
          <wp:effectExtent b="0" l="0" r="0" t="0"/>
          <wp:wrapSquare wrapText="bothSides" distB="114300" distT="114300" distL="114300" distR="114300"/>
          <wp:docPr id="4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592898" cy="768985"/>
                  </a:xfrm>
                  <a:prstGeom prst="rect"/>
                  <a:ln/>
                </pic:spPr>
              </pic:pic>
            </a:graphicData>
          </a:graphic>
        </wp:anchor>
      </w:drawing>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153"/>
        <w:tab w:val="right" w:leader="none" w:pos="8306"/>
      </w:tabs>
      <w:spacing w:line="320" w:lineRule="auto"/>
      <w:jc w:val="both"/>
      <w:rPr>
        <w:rFonts w:ascii="Century Gothic" w:cs="Century Gothic" w:eastAsia="Century Gothic" w:hAnsi="Century Gothic"/>
        <w:color w:val="2b0041"/>
        <w:sz w:val="24"/>
        <w:szCs w:val="24"/>
      </w:rPr>
    </w:pPr>
    <w:r w:rsidDel="00000000" w:rsidR="00000000" w:rsidRPr="00000000">
      <w:rPr>
        <w:rFonts w:ascii="Century Gothic" w:cs="Century Gothic" w:eastAsia="Century Gothic" w:hAnsi="Century Gothic"/>
        <w:color w:val="2b0041"/>
        <w:sz w:val="24"/>
        <w:szCs w:val="24"/>
        <w:rtl w:val="0"/>
      </w:rPr>
      <w:t xml:space="preserve">Role Description</w:t>
    </w:r>
    <w:r w:rsidDel="00000000" w:rsidR="00000000" w:rsidRPr="00000000">
      <w:rPr>
        <w:rFonts w:ascii="Century Gothic" w:cs="Century Gothic" w:eastAsia="Century Gothic" w:hAnsi="Century Gothic"/>
        <w:color w:val="2b0041"/>
        <w:rtl w:val="0"/>
      </w:rPr>
      <w:t xml:space="preserve"> </w:t>
    </w:r>
    <w:r w:rsidDel="00000000" w:rsidR="00000000" w:rsidRPr="00000000">
      <w:rPr>
        <w:rFonts w:ascii="Century Gothic" w:cs="Century Gothic" w:eastAsia="Century Gothic" w:hAnsi="Century Gothic"/>
        <w:color w:val="2b0041"/>
        <w:sz w:val="24"/>
        <w:szCs w:val="24"/>
        <w:rtl w:val="0"/>
      </w:rPr>
      <w:t xml:space="preserve"> </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153"/>
        <w:tab w:val="right" w:leader="none" w:pos="8306"/>
      </w:tabs>
      <w:spacing w:line="320" w:lineRule="auto"/>
      <w:jc w:val="both"/>
      <w:rPr>
        <w:color w:val="2b004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-139694</wp:posOffset>
              </wp:positionH>
              <wp:positionV relativeFrom="paragraph">
                <wp:posOffset>25400</wp:posOffset>
              </wp:positionV>
              <wp:extent cx="7066280" cy="193040"/>
              <wp:effectExtent b="0" l="0" r="0" t="0"/>
              <wp:wrapNone/>
              <wp:docPr id="43" name=""/>
              <a:graphic>
                <a:graphicData uri="http://schemas.microsoft.com/office/word/2010/wordprocessingShape">
                  <wps:wsp>
                    <wps:cNvCnPr/>
                    <wps:spPr>
                      <a:xfrm flipH="1" rot="10800000">
                        <a:off x="1901760" y="3772380"/>
                        <a:ext cx="6888480" cy="15240"/>
                      </a:xfrm>
                      <a:prstGeom prst="straightConnector1">
                        <a:avLst/>
                      </a:prstGeom>
                      <a:noFill/>
                      <a:ln cap="flat" cmpd="sng" w="25400">
                        <a:solidFill>
                          <a:srgbClr val="46B7A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-139694</wp:posOffset>
              </wp:positionH>
              <wp:positionV relativeFrom="paragraph">
                <wp:posOffset>25400</wp:posOffset>
              </wp:positionV>
              <wp:extent cx="7066280" cy="193040"/>
              <wp:effectExtent b="0" l="0" r="0" t="0"/>
              <wp:wrapNone/>
              <wp:docPr id="4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066280" cy="19304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rutiger LT 45 Light" w:cs="Frutiger LT 45 Light" w:eastAsia="Frutiger LT 45 Light" w:hAnsi="Frutiger LT 45 Light"/>
        <w:lang w:val="en_GB"/>
      </w:rPr>
    </w:rPrDefault>
    <w:pPrDefault>
      <w:pPr>
        <w:spacing w:line="25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240" w:lineRule="auto"/>
    </w:pPr>
    <w:rPr>
      <w:rFonts w:ascii="Frutiger LT 55 Roman" w:cs="Frutiger LT 55 Roman" w:eastAsia="Frutiger LT 55 Roman" w:hAnsi="Frutiger LT 55 Roman"/>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spacing w:after="60" w:before="240" w:line="240" w:lineRule="auto"/>
    </w:pPr>
    <w:rPr>
      <w:rFonts w:ascii="Times New Roman" w:cs="Times New Roman" w:eastAsia="Times New Roman" w:hAnsi="Times New Roman"/>
      <w:b w:val="1"/>
      <w:bCs w:val="1"/>
      <w:sz w:val="28"/>
      <w:szCs w:val="28"/>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170702"/>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0702"/>
    <w:rPr>
      <w:rFonts w:ascii="Tahoma" w:cs="Tahoma" w:hAnsi="Tahoma"/>
      <w:sz w:val="16"/>
      <w:szCs w:val="16"/>
    </w:rPr>
  </w:style>
  <w:style w:type="paragraph" w:styleId="Header">
    <w:name w:val="header"/>
    <w:basedOn w:val="Normal"/>
    <w:link w:val="HeaderChar"/>
    <w:uiPriority w:val="99"/>
    <w:unhideWhenUsed w:val="1"/>
    <w:rsid w:val="00DD7B61"/>
    <w:pPr>
      <w:tabs>
        <w:tab w:val="center" w:pos="4513"/>
        <w:tab w:val="right" w:pos="9026"/>
      </w:tabs>
      <w:spacing w:line="240" w:lineRule="auto"/>
    </w:pPr>
  </w:style>
  <w:style w:type="character" w:styleId="HeaderChar" w:customStyle="1">
    <w:name w:val="Header Char"/>
    <w:basedOn w:val="DefaultParagraphFont"/>
    <w:link w:val="Header"/>
    <w:uiPriority w:val="99"/>
    <w:rsid w:val="00DD7B61"/>
  </w:style>
  <w:style w:type="paragraph" w:styleId="Footer">
    <w:name w:val="footer"/>
    <w:basedOn w:val="Normal"/>
    <w:link w:val="FooterChar"/>
    <w:uiPriority w:val="99"/>
    <w:unhideWhenUsed w:val="1"/>
    <w:rsid w:val="00DD7B61"/>
    <w:pPr>
      <w:tabs>
        <w:tab w:val="center" w:pos="4513"/>
        <w:tab w:val="right" w:pos="9026"/>
      </w:tabs>
      <w:spacing w:line="240" w:lineRule="auto"/>
    </w:pPr>
  </w:style>
  <w:style w:type="character" w:styleId="FooterChar" w:customStyle="1">
    <w:name w:val="Footer Char"/>
    <w:basedOn w:val="DefaultParagraphFont"/>
    <w:link w:val="Footer"/>
    <w:uiPriority w:val="99"/>
    <w:rsid w:val="00DD7B61"/>
  </w:style>
  <w:style w:type="paragraph" w:styleId="ListParagraph">
    <w:name w:val="List Paragraph"/>
    <w:basedOn w:val="Normal"/>
    <w:uiPriority w:val="34"/>
    <w:qFormat w:val="1"/>
    <w:rsid w:val="00BA2C72"/>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isWGPKT+cWZVbtUZjyOzePNMQw==">CgMxLjA4AHIhMXEyZ3NDdjc2QzI0SDlzZzRZbDBtRE5QZ0Jjb1BOVUdw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2021-01-06T17:07:00Z</dcterms:created>
  <dc:creator>Lucy Austin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niqueId">
    <vt:lpwstr>264661</vt:lpwstr>
  </property>
  <property fmtid="{D5CDD505-2E9C-101B-9397-08002B2CF9AE}" pid="3" name="Jive_LatestUserAccountName">
    <vt:lpwstr>russell.menday@nda.gov.uk</vt:lpwstr>
  </property>
  <property fmtid="{D5CDD505-2E9C-101B-9397-08002B2CF9AE}" pid="4" name="Jive_VersionGuid">
    <vt:lpwstr>6e6d377d-9afb-4cfb-bed0-56da1f707fc4</vt:lpwstr>
  </property>
  <property fmtid="{D5CDD505-2E9C-101B-9397-08002B2CF9AE}" pid="5" name="Offisync_ServerID">
    <vt:lpwstr>1cb63754-bba9-41b9-ac2f-694933b04be2</vt:lpwstr>
  </property>
  <property fmtid="{D5CDD505-2E9C-101B-9397-08002B2CF9AE}" pid="6" name="Offisync_UpdateToken">
    <vt:lpwstr>1</vt:lpwstr>
  </property>
  <property fmtid="{D5CDD505-2E9C-101B-9397-08002B2CF9AE}" pid="7" name="Offisync_ProviderInitializationData">
    <vt:lpwstr>https://ecosystem.org.uk</vt:lpwstr>
  </property>
</Properties>
</file>