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480"/>
        </w:tabs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</w:r>
    </w:p>
    <w:tbl>
      <w:tblPr>
        <w:tblStyle w:val="Table1"/>
        <w:tblW w:w="107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2988"/>
        <w:gridCol w:w="7774"/>
        <w:tblGridChange w:id="0">
          <w:tblGrid>
            <w:gridCol w:w="2988"/>
            <w:gridCol w:w="7774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95"/>
              </w:tabs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633188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633188"/>
                <w:sz w:val="24"/>
                <w:szCs w:val="24"/>
                <w:rtl w:val="0"/>
              </w:rPr>
              <w:t xml:space="preserve">Position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4"/>
                <w:szCs w:val="24"/>
                <w:rtl w:val="0"/>
              </w:rPr>
              <w:t xml:space="preserve">Company Secretary (Voluntary, Job Share Opportunity)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95"/>
              </w:tabs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31849b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633188"/>
                <w:sz w:val="24"/>
                <w:szCs w:val="24"/>
                <w:rtl w:val="0"/>
              </w:rPr>
              <w:t xml:space="preserve">Reporting 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sz w:val="24"/>
                <w:szCs w:val="24"/>
                <w:rtl w:val="0"/>
              </w:rPr>
              <w:t xml:space="preserve">WiN UK President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1995"/>
              </w:tabs>
              <w:spacing w:line="240" w:lineRule="auto"/>
              <w:rPr>
                <w:rFonts w:ascii="Century Gothic" w:cs="Century Gothic" w:eastAsia="Century Gothic" w:hAnsi="Century Gothic"/>
                <w:b w:val="1"/>
                <w:bCs w:val="1"/>
                <w:color w:val="ffa02f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633188"/>
                <w:sz w:val="24"/>
                <w:szCs w:val="24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entury Gothic" w:cs="Century Gothic" w:eastAsia="Century Gothic" w:hAnsi="Century Gothic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Flexible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</w:tabs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</w:tabs>
        <w:rPr>
          <w:rFonts w:ascii="Century Gothic" w:cs="Century Gothic" w:eastAsia="Century Gothic" w:hAnsi="Century Gothic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u w:val="single"/>
          <w:rtl w:val="0"/>
        </w:rPr>
        <w:t xml:space="preserve">Please note that this is a voluntary post.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</w:tabs>
        <w:rPr>
          <w:rFonts w:ascii="Century Gothic" w:cs="Century Gothic" w:eastAsia="Century Gothic" w:hAnsi="Century Gothic"/>
          <w:color w:val="000000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4"/>
          <w:szCs w:val="24"/>
          <w:rtl w:val="0"/>
        </w:rPr>
        <w:t xml:space="preserve">Please gain confirmation of your line manager support before applying.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</w:tabs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  <w:rtl w:val="0"/>
        </w:rPr>
        <w:t xml:space="preserve">About the Role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</w:tabs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Join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Women in Nuclear UK (WiN UK)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at a pivotal moment as we transition to charity status. This voluntary role is a unique opportunity to shape governance, ensure compliance, and support our Board and Executive team in delivering our mission to promote gender balance and inclusion in the nuclear sector.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</w:tabs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</w:tabs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As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Company Secretary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, you will provide expert governance and regulatory support to the WiN UK Board and Executive team, ensuring that all statutory and legal obligations are met. You will also play a key role in implementing new governance arrangements as we evolve into a registered charity.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</w:tabs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995"/>
        </w:tabs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  <w:rtl w:val="0"/>
        </w:rPr>
        <w:t xml:space="preserve">Main Responsibilities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Governance &amp; Compliance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Embed governance processes and procedures that align with the Articles of Association and statutory requirements.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Monitor compliance with charity and company legislation and advise on best practice.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Maintain statutory and regulatory records with Companies House, HMRC, and the Charity Commission.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Board &amp; Committee Support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Prepare agendas, briefing papers, and reports for Board and Executive Committee meetings.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Ensure meetings are held in accordance with requirements, attend meetings and ensure accurate minute-taking.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Advise Trustees on governance matters, conflicts of interest, and procedural issues.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Trustee Management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Support recruitment, appointment, and induction of Trustees.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Implement governance-related policies and ensure consistent application.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Regulatory &amp; Administrative Oversight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Prepare reports required by regulatory bodies.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Standardise record-keeping for historical, current, and future governance data.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Identify and implement appropriate insurance coverage as the organisation evolves.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Risk Management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Support the Board in identifying, assessing, and monitoring organisational risks.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Ensure risk management processes are documented and integrated into governance practices.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Strategic &amp; Ad Hoc Support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Work closely with the Chair/President on governance, legal, and oversight projects.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  <w:rtl w:val="0"/>
        </w:rPr>
        <w:t xml:space="preserve">Qualifications and Experience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We’re looking for someone who brings: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Experience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in governance within a complex, multi-site organisation; non-profit sector/charity experience is an advantage.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Knowledge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of company and charity law and regulatory frameworks.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Skills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in stakeholder engagement, organisation, and administration.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Ability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to work independently and collaboratively in a job share arrangement, handling confidential information with discretion.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Excellent written communication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 and attention to detail.</w:t>
      </w:r>
    </w:p>
    <w:p w:rsidR="00000000" w:rsidDel="00000000" w:rsidP="00000000" w:rsidRDefault="00000000" w:rsidRPr="00000000" w14:paraId="00000036">
      <w:pPr>
        <w:spacing w:line="240" w:lineRule="auto"/>
        <w:ind w:left="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ind w:left="360" w:firstLine="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  <w:rtl w:val="0"/>
        </w:rPr>
        <w:t xml:space="preserve">Commitment required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360" w:hanging="360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This is a voluntary position requiring approximately 1–2 days per month, with flexibility to accommodate peak periods such as Board meetings and governance reviews.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  <w:rtl w:val="0"/>
        </w:rPr>
        <w:t xml:space="preserve">Inclusion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WiN UK is an inclusive organisation. We don’t just accept difference—we celebrate it as a core value at the heart of our mission. We believe that an inclusive organisation is a successful and happy organisation. We therefore welcome applications from those in under-represented groups. We are committed to ensuring a fair and inclusive selection process for all applicants;  it is not a pre-requisite to identify as a woman! 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  <w:rtl w:val="0"/>
        </w:rPr>
        <w:t xml:space="preserve">How to apply </w:t>
      </w:r>
    </w:p>
    <w:p w:rsidR="00000000" w:rsidDel="00000000" w:rsidP="00000000" w:rsidRDefault="00000000" w:rsidRPr="00000000" w14:paraId="00000040">
      <w:pP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If you’re passionate about governance and want to make a difference in the non-profit sector, we’d love to hear from you. Please submit your CV and a short cover letter outlining your experience and interest in the role to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 recruitment@winuk.org.uk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46b7a9"/>
          <w:sz w:val="24"/>
          <w:szCs w:val="24"/>
          <w:rtl w:val="0"/>
        </w:rPr>
        <w:t xml:space="preserve">Why join us?</w:t>
      </w:r>
    </w:p>
    <w:p w:rsidR="00000000" w:rsidDel="00000000" w:rsidP="00000000" w:rsidRDefault="00000000" w:rsidRPr="00000000" w14:paraId="00000044">
      <w:pP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 Be part of a mission-driven organisation making a real impact in the nuclear sector.</w:t>
      </w:r>
    </w:p>
    <w:p w:rsidR="00000000" w:rsidDel="00000000" w:rsidP="00000000" w:rsidRDefault="00000000" w:rsidRPr="00000000" w14:paraId="00000045">
      <w:pP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 Flexible working arrangements and a supportive job share structure.</w:t>
      </w:r>
    </w:p>
    <w:p w:rsidR="00000000" w:rsidDel="00000000" w:rsidP="00000000" w:rsidRDefault="00000000" w:rsidRPr="00000000" w14:paraId="00000046">
      <w:pPr>
        <w:tabs>
          <w:tab w:val="center" w:leader="none" w:pos="4153"/>
          <w:tab w:val="right" w:leader="none" w:pos="8306"/>
        </w:tabs>
        <w:spacing w:line="300" w:lineRule="auto"/>
        <w:rPr>
          <w:rFonts w:ascii="Century Gothic" w:cs="Century Gothic" w:eastAsia="Century Gothic" w:hAnsi="Century Gothic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  <w:rtl w:val="0"/>
        </w:rPr>
        <w:t xml:space="preserve">·</w:t>
        <w:tab/>
        <w:t xml:space="preserve"> Opportunity to shape governance during a significant organisational transition.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 w:orient="portrait"/>
      <w:pgMar w:bottom="1077" w:top="1259" w:left="851" w:right="851" w:header="709" w:footer="68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ourier New"/>
  <w:font w:name="Frutiger LT 45 Light"/>
  <w:font w:name="Noto Sans Symbols">
    <w:embedRegular w:fontKey="{00000000-0000-0000-0000-000000000000}" r:id="rId1" w:subsetted="0"/>
    <w:embedBold w:fontKey="{00000000-0000-0000-0000-000000000000}" r:id="rId2" w:subsetted="0"/>
  </w:font>
  <w:font w:name="Frutiger LT 55 Roman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697345" cy="41288"/>
          <wp:effectExtent b="0" l="0" r="0" t="0"/>
          <wp:docPr id="4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7345" cy="412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901180" cy="42545"/>
          <wp:effectExtent b="0" l="0" r="0" t="0"/>
          <wp:docPr id="4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01180" cy="425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</w:tabs>
      <w:spacing w:line="320" w:lineRule="auto"/>
      <w:rPr>
        <w:rFonts w:ascii="Century Gothic" w:cs="Century Gothic" w:eastAsia="Century Gothic" w:hAnsi="Century Gothic"/>
        <w:b w:val="1"/>
        <w:bCs w:val="1"/>
        <w:color w:val="2b0041"/>
        <w:sz w:val="32"/>
        <w:szCs w:val="32"/>
      </w:rPr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color w:val="2b0041"/>
        <w:sz w:val="32"/>
        <w:szCs w:val="32"/>
        <w:rtl w:val="0"/>
      </w:rPr>
      <w:t xml:space="preserve">Women in Nuclear UK                           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3910965</wp:posOffset>
          </wp:positionH>
          <wp:positionV relativeFrom="paragraph">
            <wp:posOffset>-132709</wp:posOffset>
          </wp:positionV>
          <wp:extent cx="2857500" cy="790575"/>
          <wp:effectExtent b="0" l="0" r="0" t="0"/>
          <wp:wrapSquare wrapText="bothSides" distB="0" distT="0" distL="114300" distR="114300"/>
          <wp:docPr id="4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7500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320" w:lineRule="auto"/>
      <w:jc w:val="both"/>
      <w:rPr>
        <w:rFonts w:ascii="Century Gothic" w:cs="Century Gothic" w:eastAsia="Century Gothic" w:hAnsi="Century Gothic"/>
        <w:color w:val="2b0041"/>
        <w:sz w:val="24"/>
        <w:szCs w:val="24"/>
      </w:rPr>
    </w:pPr>
    <w:r w:rsidDel="00000000" w:rsidR="00000000" w:rsidRPr="00000000">
      <w:rPr>
        <w:rFonts w:ascii="Century Gothic" w:cs="Century Gothic" w:eastAsia="Century Gothic" w:hAnsi="Century Gothic"/>
        <w:color w:val="2b0041"/>
        <w:sz w:val="24"/>
        <w:szCs w:val="24"/>
        <w:rtl w:val="0"/>
      </w:rPr>
      <w:t xml:space="preserve">Role Description</w:t>
    </w:r>
    <w:r w:rsidDel="00000000" w:rsidR="00000000" w:rsidRPr="00000000">
      <w:rPr>
        <w:rFonts w:ascii="Century Gothic" w:cs="Century Gothic" w:eastAsia="Century Gothic" w:hAnsi="Century Gothic"/>
        <w:color w:val="2b0041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color w:val="2b0041"/>
        <w:sz w:val="24"/>
        <w:szCs w:val="24"/>
        <w:rtl w:val="0"/>
      </w:rPr>
      <w:t xml:space="preserve"> 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320" w:lineRule="auto"/>
      <w:jc w:val="both"/>
      <w:rPr>
        <w:color w:val="2b004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-139694</wp:posOffset>
              </wp:positionH>
              <wp:positionV relativeFrom="paragraph">
                <wp:posOffset>25400</wp:posOffset>
              </wp:positionV>
              <wp:extent cx="7066280" cy="193040"/>
              <wp:effectExtent b="0" l="0" r="0" t="0"/>
              <wp:wrapNone/>
              <wp:docPr id="44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901760" y="3772380"/>
                        <a:ext cx="6888480" cy="15240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rgbClr val="46B7A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-139694</wp:posOffset>
              </wp:positionH>
              <wp:positionV relativeFrom="paragraph">
                <wp:posOffset>25400</wp:posOffset>
              </wp:positionV>
              <wp:extent cx="7066280" cy="193040"/>
              <wp:effectExtent b="0" l="0" r="0" t="0"/>
              <wp:wrapNone/>
              <wp:docPr id="4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66280" cy="193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</w:tabs>
      <w:spacing w:line="320" w:lineRule="auto"/>
      <w:rPr>
        <w:rFonts w:ascii="Century Gothic" w:cs="Century Gothic" w:eastAsia="Century Gothic" w:hAnsi="Century Gothic"/>
        <w:b w:val="1"/>
        <w:bCs w:val="1"/>
        <w:color w:val="2b0041"/>
        <w:sz w:val="32"/>
        <w:szCs w:val="32"/>
      </w:rPr>
    </w:pPr>
    <w:r w:rsidDel="00000000" w:rsidR="00000000" w:rsidRPr="00000000">
      <w:rPr>
        <w:rFonts w:ascii="Century Gothic" w:cs="Century Gothic" w:eastAsia="Century Gothic" w:hAnsi="Century Gothic"/>
        <w:b w:val="1"/>
        <w:bCs w:val="1"/>
        <w:color w:val="2b0041"/>
        <w:sz w:val="32"/>
        <w:szCs w:val="32"/>
        <w:rtl w:val="0"/>
      </w:rPr>
      <w:t xml:space="preserve">Women in Nuclear UK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4888555</wp:posOffset>
          </wp:positionH>
          <wp:positionV relativeFrom="paragraph">
            <wp:posOffset>-228594</wp:posOffset>
          </wp:positionV>
          <wp:extent cx="1592898" cy="768985"/>
          <wp:effectExtent b="0" l="0" r="0" t="0"/>
          <wp:wrapSquare wrapText="bothSides" distB="114300" distT="114300" distL="114300" distR="114300"/>
          <wp:docPr id="4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2898" cy="7689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320" w:lineRule="auto"/>
      <w:jc w:val="both"/>
      <w:rPr>
        <w:rFonts w:ascii="Century Gothic" w:cs="Century Gothic" w:eastAsia="Century Gothic" w:hAnsi="Century Gothic"/>
        <w:color w:val="2b0041"/>
        <w:sz w:val="24"/>
        <w:szCs w:val="24"/>
      </w:rPr>
    </w:pPr>
    <w:r w:rsidDel="00000000" w:rsidR="00000000" w:rsidRPr="00000000">
      <w:rPr>
        <w:rFonts w:ascii="Century Gothic" w:cs="Century Gothic" w:eastAsia="Century Gothic" w:hAnsi="Century Gothic"/>
        <w:color w:val="2b0041"/>
        <w:sz w:val="24"/>
        <w:szCs w:val="24"/>
        <w:rtl w:val="0"/>
      </w:rPr>
      <w:t xml:space="preserve">Role Description</w:t>
    </w:r>
    <w:r w:rsidDel="00000000" w:rsidR="00000000" w:rsidRPr="00000000">
      <w:rPr>
        <w:rFonts w:ascii="Century Gothic" w:cs="Century Gothic" w:eastAsia="Century Gothic" w:hAnsi="Century Gothic"/>
        <w:color w:val="2b0041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color w:val="2b0041"/>
        <w:sz w:val="24"/>
        <w:szCs w:val="24"/>
        <w:rtl w:val="0"/>
      </w:rPr>
      <w:t xml:space="preserve"> </w:t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320" w:lineRule="auto"/>
      <w:jc w:val="both"/>
      <w:rPr>
        <w:color w:val="2b004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-139694</wp:posOffset>
              </wp:positionH>
              <wp:positionV relativeFrom="paragraph">
                <wp:posOffset>25400</wp:posOffset>
              </wp:positionV>
              <wp:extent cx="7066280" cy="193040"/>
              <wp:effectExtent b="0" l="0" r="0" t="0"/>
              <wp:wrapNone/>
              <wp:docPr id="43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901760" y="3772380"/>
                        <a:ext cx="6888480" cy="15240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rgbClr val="46B7A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-139694</wp:posOffset>
              </wp:positionH>
              <wp:positionV relativeFrom="paragraph">
                <wp:posOffset>25400</wp:posOffset>
              </wp:positionV>
              <wp:extent cx="7066280" cy="193040"/>
              <wp:effectExtent b="0" l="0" r="0" t="0"/>
              <wp:wrapNone/>
              <wp:docPr id="4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66280" cy="193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Frutiger LT 45 Light" w:cs="Frutiger LT 45 Light" w:eastAsia="Frutiger LT 45 Light" w:hAnsi="Frutiger LT 45 Light"/>
        <w:lang w:val="en_GB"/>
      </w:rPr>
    </w:rPrDefault>
    <w:pPrDefault>
      <w:pPr>
        <w:spacing w:line="25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line="240" w:lineRule="auto"/>
    </w:pPr>
    <w:rPr>
      <w:rFonts w:ascii="Frutiger LT 55 Roman" w:cs="Frutiger LT 55 Roman" w:eastAsia="Frutiger LT 55 Roman" w:hAnsi="Frutiger LT 55 Roman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70702"/>
    <w:pPr>
      <w:spacing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70702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DD7B61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D7B61"/>
  </w:style>
  <w:style w:type="paragraph" w:styleId="Footer">
    <w:name w:val="footer"/>
    <w:basedOn w:val="Normal"/>
    <w:link w:val="FooterChar"/>
    <w:uiPriority w:val="99"/>
    <w:unhideWhenUsed w:val="1"/>
    <w:rsid w:val="00DD7B61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D7B61"/>
  </w:style>
  <w:style w:type="paragraph" w:styleId="ListParagraph">
    <w:name w:val="List Paragraph"/>
    <w:basedOn w:val="Normal"/>
    <w:uiPriority w:val="34"/>
    <w:qFormat w:val="1"/>
    <w:rsid w:val="00BA2C72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ITak00VAoa//R1BqfDcw8v+qA==">CgMxLjA4AHIhMXBVQWc1cXlpSG1tNEFZQ0RqNzd5N2ZuTnVVQWVYZHJw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2021-01-06T17:07:00Z</dcterms:created>
  <dc:creator>Lucy Austin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UniqueId">
    <vt:lpwstr>264661</vt:lpwstr>
  </property>
  <property fmtid="{D5CDD505-2E9C-101B-9397-08002B2CF9AE}" pid="3" name="Jive_LatestUserAccountName">
    <vt:lpwstr>russell.menday@nda.gov.uk</vt:lpwstr>
  </property>
  <property fmtid="{D5CDD505-2E9C-101B-9397-08002B2CF9AE}" pid="4" name="Jive_VersionGuid">
    <vt:lpwstr>6e6d377d-9afb-4cfb-bed0-56da1f707fc4</vt:lpwstr>
  </property>
  <property fmtid="{D5CDD505-2E9C-101B-9397-08002B2CF9AE}" pid="5" name="Offisync_ServerID">
    <vt:lpwstr>1cb63754-bba9-41b9-ac2f-694933b04be2</vt:lpwstr>
  </property>
  <property fmtid="{D5CDD505-2E9C-101B-9397-08002B2CF9AE}" pid="6" name="Offisync_UpdateToken">
    <vt:lpwstr>1</vt:lpwstr>
  </property>
  <property fmtid="{D5CDD505-2E9C-101B-9397-08002B2CF9AE}" pid="7" name="Offisync_ProviderInitializationData">
    <vt:lpwstr>https://ecosystem.org.uk</vt:lpwstr>
  </property>
</Properties>
</file>